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CD4D5" w14:textId="230443B9" w:rsidR="00201AC2" w:rsidRPr="00720BC4" w:rsidRDefault="00720BC4" w:rsidP="00201AC2">
      <w:pPr>
        <w:spacing w:after="180"/>
        <w:rPr>
          <w:b/>
          <w:sz w:val="44"/>
          <w:szCs w:val="44"/>
        </w:rPr>
      </w:pPr>
      <w:r w:rsidRPr="00720BC4">
        <w:rPr>
          <w:b/>
          <w:sz w:val="44"/>
          <w:szCs w:val="44"/>
        </w:rPr>
        <w:t>Product mass</w:t>
      </w:r>
    </w:p>
    <w:p w14:paraId="07E6C545" w14:textId="77777777" w:rsidR="002F41B2" w:rsidRPr="00720BC4" w:rsidRDefault="002F41B2" w:rsidP="002F41B2">
      <w:pPr>
        <w:spacing w:after="180"/>
      </w:pPr>
    </w:p>
    <w:p w14:paraId="32D793E9" w14:textId="72BD90D3" w:rsidR="00720BC4" w:rsidRPr="00720BC4" w:rsidRDefault="00720BC4" w:rsidP="00720BC4">
      <w:pPr>
        <w:pStyle w:val="ListParagraph"/>
        <w:numPr>
          <w:ilvl w:val="0"/>
          <w:numId w:val="3"/>
        </w:numPr>
        <w:spacing w:after="180"/>
      </w:pPr>
      <w:r w:rsidRPr="00720BC4">
        <w:t>The reactants are placed on a balance. The total mass is 148.</w:t>
      </w:r>
      <w:r w:rsidR="00945646">
        <w:t>2</w:t>
      </w:r>
      <w:r w:rsidRPr="00720BC4">
        <w:t>g.</w:t>
      </w:r>
    </w:p>
    <w:p w14:paraId="13523185" w14:textId="77777777" w:rsidR="00720BC4" w:rsidRPr="00720BC4" w:rsidRDefault="00720BC4" w:rsidP="00720BC4">
      <w:pPr>
        <w:spacing w:after="180"/>
        <w:ind w:left="360"/>
      </w:pPr>
      <w:r w:rsidRPr="00720BC4">
        <w:rPr>
          <w:noProof/>
        </w:rPr>
        <w:drawing>
          <wp:inline distT="0" distB="0" distL="0" distR="0" wp14:anchorId="59742D4E" wp14:editId="58FAFC33">
            <wp:extent cx="3524250" cy="1342129"/>
            <wp:effectExtent l="0" t="0" r="0" b="0"/>
            <wp:docPr id="14" name="Picture 13">
              <a:extLst xmlns:a="http://schemas.openxmlformats.org/drawingml/2006/main">
                <a:ext uri="{FF2B5EF4-FFF2-40B4-BE49-F238E27FC236}">
                  <a16:creationId xmlns:a16="http://schemas.microsoft.com/office/drawing/2014/main" id="{38FA42BC-A20D-4B00-BAE5-5D21EFC89A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38FA42BC-A20D-4B00-BAE5-5D21EFC89A7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36254" cy="1346700"/>
                    </a:xfrm>
                    <a:prstGeom prst="rect">
                      <a:avLst/>
                    </a:prstGeom>
                  </pic:spPr>
                </pic:pic>
              </a:graphicData>
            </a:graphic>
          </wp:inline>
        </w:drawing>
      </w:r>
    </w:p>
    <w:p w14:paraId="53426B4F" w14:textId="1BA2E86C" w:rsidR="00720BC4" w:rsidRDefault="00720BC4" w:rsidP="00720BC4">
      <w:pPr>
        <w:pStyle w:val="ListParagraph"/>
        <w:spacing w:after="180"/>
      </w:pPr>
      <w:r w:rsidRPr="00720BC4">
        <w:t>The reactants are mixed. A yellow precipitate forms.</w:t>
      </w:r>
    </w:p>
    <w:p w14:paraId="53BB3653" w14:textId="77777777" w:rsidR="00945646" w:rsidRPr="00720BC4" w:rsidRDefault="00945646" w:rsidP="00720BC4">
      <w:pPr>
        <w:pStyle w:val="ListParagraph"/>
        <w:spacing w:after="180"/>
      </w:pPr>
    </w:p>
    <w:p w14:paraId="361B896F" w14:textId="77777777" w:rsidR="00720BC4" w:rsidRPr="00720BC4" w:rsidRDefault="00720BC4" w:rsidP="00720BC4">
      <w:pPr>
        <w:pStyle w:val="ListParagraph"/>
        <w:spacing w:after="180"/>
      </w:pPr>
      <w:r w:rsidRPr="00720BC4">
        <w:t xml:space="preserve">         </w:t>
      </w:r>
      <w:r w:rsidRPr="00720BC4">
        <w:rPr>
          <w:noProof/>
        </w:rPr>
        <w:drawing>
          <wp:inline distT="0" distB="0" distL="0" distR="0" wp14:anchorId="2FAA1BD3" wp14:editId="2BFA4BB0">
            <wp:extent cx="3105150" cy="1302839"/>
            <wp:effectExtent l="0" t="0" r="0" b="0"/>
            <wp:docPr id="15" name="Picture 14">
              <a:extLst xmlns:a="http://schemas.openxmlformats.org/drawingml/2006/main">
                <a:ext uri="{FF2B5EF4-FFF2-40B4-BE49-F238E27FC236}">
                  <a16:creationId xmlns:a16="http://schemas.microsoft.com/office/drawing/2014/main" id="{0F66953C-DAB8-4254-831E-B20AFEEDA5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0F66953C-DAB8-4254-831E-B20AFEEDA55B}"/>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34545" cy="1315172"/>
                    </a:xfrm>
                    <a:prstGeom prst="rect">
                      <a:avLst/>
                    </a:prstGeom>
                  </pic:spPr>
                </pic:pic>
              </a:graphicData>
            </a:graphic>
          </wp:inline>
        </w:drawing>
      </w:r>
    </w:p>
    <w:p w14:paraId="32EEED77" w14:textId="77777777" w:rsidR="00720BC4" w:rsidRDefault="00720BC4" w:rsidP="00720BC4">
      <w:pPr>
        <w:pStyle w:val="ListParagraph"/>
        <w:spacing w:after="180"/>
        <w:ind w:left="567"/>
        <w:contextualSpacing w:val="0"/>
      </w:pPr>
    </w:p>
    <w:p w14:paraId="6BC37EFF" w14:textId="2B59E690" w:rsidR="00201AC2" w:rsidRPr="00720BC4" w:rsidRDefault="00720BC4" w:rsidP="00720BC4">
      <w:pPr>
        <w:pStyle w:val="ListParagraph"/>
        <w:spacing w:after="180"/>
        <w:ind w:left="567"/>
        <w:contextualSpacing w:val="0"/>
      </w:pPr>
      <w:r w:rsidRPr="00720BC4">
        <w:t>Some students predict how the mass of the reaction will change.</w:t>
      </w:r>
    </w:p>
    <w:p w14:paraId="39D13FED" w14:textId="77777777" w:rsidR="00720BC4" w:rsidRDefault="00720BC4" w:rsidP="00720BC4">
      <w:pPr>
        <w:pStyle w:val="ListParagraph"/>
        <w:spacing w:after="180"/>
        <w:ind w:left="567"/>
        <w:contextualSpacing w:val="0"/>
        <w:rPr>
          <w:noProof/>
        </w:rPr>
      </w:pPr>
      <w:r w:rsidRPr="00720BC4">
        <w:t>Who do you agree with, and why?</w:t>
      </w:r>
      <w:r w:rsidRPr="00720BC4">
        <w:rPr>
          <w:noProof/>
        </w:rPr>
        <w:t xml:space="preserve"> </w:t>
      </w:r>
    </w:p>
    <w:p w14:paraId="59D52801" w14:textId="342847BE" w:rsidR="00201AC2" w:rsidRDefault="00720BC4" w:rsidP="00720BC4">
      <w:pPr>
        <w:spacing w:after="180"/>
      </w:pPr>
      <w:r>
        <w:rPr>
          <w:noProof/>
        </w:rPr>
        <w:drawing>
          <wp:inline distT="0" distB="0" distL="0" distR="0" wp14:anchorId="08551DB7" wp14:editId="2A9DB62D">
            <wp:extent cx="5731510" cy="313182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131820"/>
                    </a:xfrm>
                    <a:prstGeom prst="rect">
                      <a:avLst/>
                    </a:prstGeom>
                  </pic:spPr>
                </pic:pic>
              </a:graphicData>
            </a:graphic>
          </wp:inline>
        </w:drawing>
      </w:r>
    </w:p>
    <w:p w14:paraId="05A63149" w14:textId="283494AF" w:rsidR="00720BC4" w:rsidRDefault="00720BC4" w:rsidP="00720BC4">
      <w:pPr>
        <w:pStyle w:val="ListParagraph"/>
        <w:spacing w:after="180"/>
        <w:ind w:left="567"/>
        <w:contextualSpacing w:val="0"/>
      </w:pPr>
    </w:p>
    <w:p w14:paraId="3ADE25AB" w14:textId="77777777" w:rsidR="00213450" w:rsidRDefault="00213450">
      <w:pPr>
        <w:spacing w:after="200" w:line="276" w:lineRule="auto"/>
      </w:pPr>
      <w:r>
        <w:br w:type="page"/>
      </w:r>
    </w:p>
    <w:p w14:paraId="0949EB36" w14:textId="77777777" w:rsidR="00720BC4" w:rsidRPr="00720BC4" w:rsidRDefault="00720BC4" w:rsidP="00720BC4">
      <w:pPr>
        <w:pStyle w:val="ListParagraph"/>
        <w:spacing w:after="180"/>
        <w:ind w:left="567"/>
        <w:contextualSpacing w:val="0"/>
      </w:pPr>
    </w:p>
    <w:p w14:paraId="616C95B0" w14:textId="14279B2D" w:rsidR="00201AC2" w:rsidRDefault="00201AC2" w:rsidP="006F3279">
      <w:pPr>
        <w:spacing w:after="240"/>
        <w:rPr>
          <w:szCs w:val="18"/>
        </w:rPr>
      </w:pPr>
    </w:p>
    <w:p w14:paraId="4E78BB47" w14:textId="77777777" w:rsidR="00213450" w:rsidRPr="00201AC2" w:rsidRDefault="00213450" w:rsidP="006F3279">
      <w:pPr>
        <w:spacing w:after="240"/>
        <w:rPr>
          <w:szCs w:val="18"/>
        </w:rPr>
      </w:pPr>
    </w:p>
    <w:tbl>
      <w:tblPr>
        <w:tblStyle w:val="TableGrid"/>
        <w:tblpPr w:leftFromText="180" w:rightFromText="180" w:vertAnchor="text" w:horzAnchor="page" w:tblpX="946" w:tblpYSpec="bottom"/>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16"/>
      </w:tblGrid>
      <w:tr w:rsidR="00213450" w14:paraId="5D000166" w14:textId="77777777" w:rsidTr="004519A0">
        <w:tc>
          <w:tcPr>
            <w:tcW w:w="9016" w:type="dxa"/>
            <w:vAlign w:val="center"/>
          </w:tcPr>
          <w:p w14:paraId="1AE58842" w14:textId="7E8D7753" w:rsidR="00213450" w:rsidRPr="005B2A08" w:rsidRDefault="00213450" w:rsidP="004519A0">
            <w:pPr>
              <w:spacing w:after="240"/>
              <w:jc w:val="center"/>
              <w:rPr>
                <w:b/>
                <w:sz w:val="32"/>
                <w:szCs w:val="18"/>
              </w:rPr>
            </w:pPr>
            <w:r>
              <w:rPr>
                <w:b/>
                <w:sz w:val="32"/>
                <w:szCs w:val="18"/>
              </w:rPr>
              <w:t>Raj</w:t>
            </w:r>
          </w:p>
          <w:p w14:paraId="72A91E65" w14:textId="58BDC2D0" w:rsidR="00213450" w:rsidRPr="007C2538" w:rsidRDefault="00213450" w:rsidP="004519A0">
            <w:pPr>
              <w:spacing w:after="180"/>
              <w:jc w:val="center"/>
              <w:rPr>
                <w:sz w:val="32"/>
                <w:lang w:val="en-US"/>
              </w:rPr>
            </w:pPr>
            <w:r>
              <w:rPr>
                <w:sz w:val="32"/>
                <w:lang w:val="en-US"/>
              </w:rPr>
              <w:t>The mass will stay the same because there are the same number of reactants as products.</w:t>
            </w:r>
          </w:p>
        </w:tc>
      </w:tr>
      <w:tr w:rsidR="00213450" w14:paraId="635665AF" w14:textId="77777777" w:rsidTr="004519A0">
        <w:tc>
          <w:tcPr>
            <w:tcW w:w="9016" w:type="dxa"/>
            <w:vAlign w:val="center"/>
          </w:tcPr>
          <w:p w14:paraId="644297DE" w14:textId="3CE5021A" w:rsidR="00213450" w:rsidRPr="005B2A08" w:rsidRDefault="00213450" w:rsidP="004519A0">
            <w:pPr>
              <w:spacing w:after="240"/>
              <w:jc w:val="center"/>
              <w:rPr>
                <w:b/>
                <w:sz w:val="32"/>
                <w:szCs w:val="18"/>
              </w:rPr>
            </w:pPr>
            <w:r>
              <w:rPr>
                <w:b/>
                <w:sz w:val="32"/>
                <w:szCs w:val="18"/>
              </w:rPr>
              <w:t>Diane</w:t>
            </w:r>
          </w:p>
          <w:p w14:paraId="69C91C7A" w14:textId="40F090AC" w:rsidR="00213450" w:rsidRPr="007C2538" w:rsidRDefault="00213450" w:rsidP="004519A0">
            <w:pPr>
              <w:spacing w:after="180"/>
              <w:jc w:val="center"/>
              <w:rPr>
                <w:lang w:val="en-US"/>
              </w:rPr>
            </w:pPr>
            <w:r>
              <w:rPr>
                <w:sz w:val="32"/>
                <w:lang w:val="en-US"/>
              </w:rPr>
              <w:t>You can’t predict what the mass will be because you don’t know the mass of the products.</w:t>
            </w:r>
          </w:p>
        </w:tc>
      </w:tr>
      <w:tr w:rsidR="00213450" w14:paraId="17522A13" w14:textId="77777777" w:rsidTr="004519A0">
        <w:tc>
          <w:tcPr>
            <w:tcW w:w="9016" w:type="dxa"/>
            <w:vAlign w:val="center"/>
          </w:tcPr>
          <w:p w14:paraId="0487E3F6" w14:textId="7DE074BA" w:rsidR="00213450" w:rsidRPr="005B2A08" w:rsidRDefault="00213450" w:rsidP="004519A0">
            <w:pPr>
              <w:spacing w:after="240"/>
              <w:jc w:val="center"/>
              <w:rPr>
                <w:b/>
                <w:sz w:val="32"/>
                <w:szCs w:val="18"/>
              </w:rPr>
            </w:pPr>
            <w:r>
              <w:rPr>
                <w:b/>
                <w:sz w:val="32"/>
                <w:szCs w:val="18"/>
              </w:rPr>
              <w:t>Natalie</w:t>
            </w:r>
          </w:p>
          <w:p w14:paraId="6C4111BB" w14:textId="2589235B" w:rsidR="00213450" w:rsidRPr="007C2538" w:rsidRDefault="00213450" w:rsidP="004519A0">
            <w:pPr>
              <w:spacing w:after="180"/>
              <w:jc w:val="center"/>
              <w:rPr>
                <w:sz w:val="32"/>
                <w:lang w:val="en-US"/>
              </w:rPr>
            </w:pPr>
            <w:r>
              <w:rPr>
                <w:sz w:val="32"/>
                <w:lang w:val="en-US"/>
              </w:rPr>
              <w:t>The mass will increase because one of the products is a solid.</w:t>
            </w:r>
          </w:p>
        </w:tc>
      </w:tr>
      <w:tr w:rsidR="00213450" w14:paraId="1A0F7E88" w14:textId="77777777" w:rsidTr="004519A0">
        <w:tc>
          <w:tcPr>
            <w:tcW w:w="9016" w:type="dxa"/>
            <w:vAlign w:val="center"/>
          </w:tcPr>
          <w:p w14:paraId="4624C72F" w14:textId="2B3EFD94" w:rsidR="00213450" w:rsidRPr="005B2A08" w:rsidRDefault="00213450" w:rsidP="004519A0">
            <w:pPr>
              <w:spacing w:after="240"/>
              <w:jc w:val="center"/>
              <w:rPr>
                <w:b/>
                <w:sz w:val="32"/>
                <w:szCs w:val="18"/>
              </w:rPr>
            </w:pPr>
            <w:r>
              <w:rPr>
                <w:b/>
                <w:sz w:val="32"/>
                <w:szCs w:val="18"/>
              </w:rPr>
              <w:t>Sunetra</w:t>
            </w:r>
          </w:p>
          <w:p w14:paraId="0BFA3D54" w14:textId="1D44995D" w:rsidR="00213450" w:rsidRPr="009D22BC" w:rsidRDefault="00213450" w:rsidP="004519A0">
            <w:pPr>
              <w:spacing w:after="240"/>
              <w:jc w:val="center"/>
              <w:rPr>
                <w:sz w:val="32"/>
                <w:szCs w:val="18"/>
              </w:rPr>
            </w:pPr>
            <w:r>
              <w:rPr>
                <w:sz w:val="32"/>
                <w:lang w:val="en-US"/>
              </w:rPr>
              <w:t>The mass will stay the same because nothing else goes into or out of the beakers.</w:t>
            </w:r>
          </w:p>
        </w:tc>
      </w:tr>
      <w:tr w:rsidR="00213450" w14:paraId="159329CA" w14:textId="77777777" w:rsidTr="004519A0">
        <w:tc>
          <w:tcPr>
            <w:tcW w:w="9016" w:type="dxa"/>
            <w:vAlign w:val="center"/>
          </w:tcPr>
          <w:p w14:paraId="5F75F807" w14:textId="738727C8" w:rsidR="00213450" w:rsidRDefault="00213450" w:rsidP="004519A0">
            <w:pPr>
              <w:spacing w:after="240"/>
              <w:jc w:val="center"/>
              <w:rPr>
                <w:b/>
                <w:sz w:val="32"/>
                <w:szCs w:val="18"/>
              </w:rPr>
            </w:pPr>
            <w:r>
              <w:rPr>
                <w:b/>
                <w:sz w:val="32"/>
                <w:szCs w:val="18"/>
              </w:rPr>
              <w:t>James</w:t>
            </w:r>
          </w:p>
          <w:p w14:paraId="4BB90F77" w14:textId="52740B12" w:rsidR="00213450" w:rsidRPr="007C2538" w:rsidRDefault="00213450" w:rsidP="004519A0">
            <w:pPr>
              <w:spacing w:after="180"/>
              <w:jc w:val="center"/>
              <w:rPr>
                <w:sz w:val="32"/>
              </w:rPr>
            </w:pPr>
            <w:r>
              <w:rPr>
                <w:sz w:val="32"/>
                <w:lang w:val="en-US"/>
              </w:rPr>
              <w:t>The mass will stay the same because the products are made of the same atoms as the reactants.</w:t>
            </w:r>
          </w:p>
        </w:tc>
      </w:tr>
    </w:tbl>
    <w:p w14:paraId="1DB76D49"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20E85606" w14:textId="78AF8749"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720BC4">
        <w:rPr>
          <w:i/>
          <w:sz w:val="18"/>
          <w:szCs w:val="18"/>
        </w:rPr>
        <w:t>CPS: Particles and structure</w:t>
      </w:r>
      <w:r>
        <w:rPr>
          <w:i/>
          <w:sz w:val="18"/>
          <w:szCs w:val="18"/>
        </w:rPr>
        <w:t xml:space="preserve"> &gt; Topic </w:t>
      </w:r>
      <w:r w:rsidR="00720BC4">
        <w:rPr>
          <w:i/>
          <w:sz w:val="18"/>
          <w:szCs w:val="18"/>
        </w:rPr>
        <w:t>CPS4: Understanding reactions</w:t>
      </w:r>
      <w:r w:rsidRPr="00CA4B46">
        <w:rPr>
          <w:i/>
          <w:sz w:val="18"/>
          <w:szCs w:val="18"/>
        </w:rPr>
        <w:t xml:space="preserve"> &gt; </w:t>
      </w:r>
      <w:r>
        <w:rPr>
          <w:i/>
          <w:sz w:val="18"/>
          <w:szCs w:val="18"/>
        </w:rPr>
        <w:t>Key concept</w:t>
      </w:r>
      <w:r w:rsidRPr="00CA4B46">
        <w:rPr>
          <w:i/>
          <w:sz w:val="18"/>
          <w:szCs w:val="18"/>
        </w:rPr>
        <w:t xml:space="preserve"> </w:t>
      </w:r>
      <w:r w:rsidR="00720BC4">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E53DB91" w14:textId="77777777" w:rsidTr="001C2E59">
        <w:tc>
          <w:tcPr>
            <w:tcW w:w="12021" w:type="dxa"/>
            <w:shd w:val="clear" w:color="auto" w:fill="FABF8F" w:themeFill="accent6" w:themeFillTint="99"/>
          </w:tcPr>
          <w:p w14:paraId="0C38E91E"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1BB1B147" w14:textId="77777777" w:rsidTr="001C2E59">
        <w:tc>
          <w:tcPr>
            <w:tcW w:w="12021" w:type="dxa"/>
            <w:shd w:val="clear" w:color="auto" w:fill="FBD4B4" w:themeFill="accent6" w:themeFillTint="66"/>
          </w:tcPr>
          <w:p w14:paraId="721B484D" w14:textId="7D76414E" w:rsidR="006F3279" w:rsidRPr="00CA4B46" w:rsidRDefault="00720BC4" w:rsidP="006F3279">
            <w:pPr>
              <w:spacing w:after="60"/>
              <w:ind w:left="1304"/>
              <w:rPr>
                <w:b/>
                <w:sz w:val="40"/>
                <w:szCs w:val="40"/>
              </w:rPr>
            </w:pPr>
            <w:r w:rsidRPr="00720BC4">
              <w:rPr>
                <w:b/>
                <w:sz w:val="40"/>
                <w:szCs w:val="40"/>
              </w:rPr>
              <w:t>Product mass</w:t>
            </w:r>
          </w:p>
        </w:tc>
      </w:tr>
    </w:tbl>
    <w:p w14:paraId="0AEABBA6" w14:textId="77777777" w:rsidR="006F3279" w:rsidRDefault="006F3279" w:rsidP="00E172C6">
      <w:pPr>
        <w:spacing w:after="180"/>
        <w:rPr>
          <w:b/>
        </w:rPr>
      </w:pPr>
    </w:p>
    <w:p w14:paraId="6A2D9463"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0BC4" w14:paraId="2922A929" w14:textId="77777777" w:rsidTr="00720BC4">
        <w:trPr>
          <w:trHeight w:val="340"/>
        </w:trPr>
        <w:tc>
          <w:tcPr>
            <w:tcW w:w="2196" w:type="dxa"/>
          </w:tcPr>
          <w:p w14:paraId="71A285EF" w14:textId="77777777" w:rsidR="00720BC4" w:rsidRDefault="00720BC4" w:rsidP="00720BC4">
            <w:pPr>
              <w:spacing w:before="60" w:after="60"/>
            </w:pPr>
            <w:r>
              <w:t>Learning objective:</w:t>
            </w:r>
          </w:p>
        </w:tc>
        <w:tc>
          <w:tcPr>
            <w:tcW w:w="6820" w:type="dxa"/>
          </w:tcPr>
          <w:p w14:paraId="0DB31924" w14:textId="51A7379A" w:rsidR="00720BC4" w:rsidRPr="00B75483" w:rsidRDefault="00720BC4" w:rsidP="00720BC4">
            <w:pPr>
              <w:spacing w:before="60" w:after="60"/>
              <w:rPr>
                <w:highlight w:val="yellow"/>
              </w:rPr>
            </w:pPr>
            <w:r w:rsidRPr="0038377F">
              <w:t>During a chemical reaction no atoms are created or destroyed. Mass is conserved.</w:t>
            </w:r>
          </w:p>
        </w:tc>
      </w:tr>
      <w:tr w:rsidR="00720BC4" w14:paraId="55EE2A5F" w14:textId="77777777" w:rsidTr="00720BC4">
        <w:trPr>
          <w:trHeight w:val="340"/>
        </w:trPr>
        <w:tc>
          <w:tcPr>
            <w:tcW w:w="2196" w:type="dxa"/>
          </w:tcPr>
          <w:p w14:paraId="31C03FB2" w14:textId="77777777" w:rsidR="00720BC4" w:rsidRDefault="00720BC4" w:rsidP="00720BC4">
            <w:pPr>
              <w:spacing w:before="60" w:after="60"/>
            </w:pPr>
            <w:r>
              <w:t>Observable learning outcome:</w:t>
            </w:r>
          </w:p>
        </w:tc>
        <w:tc>
          <w:tcPr>
            <w:tcW w:w="6820" w:type="dxa"/>
          </w:tcPr>
          <w:p w14:paraId="42A60EC4" w14:textId="170CEABC" w:rsidR="00720BC4" w:rsidRPr="00B75483" w:rsidRDefault="00720BC4" w:rsidP="00720BC4">
            <w:pPr>
              <w:spacing w:before="60" w:after="60"/>
              <w:rPr>
                <w:highlight w:val="yellow"/>
              </w:rPr>
            </w:pPr>
            <w:r w:rsidRPr="0038377F">
              <w:t>Predict and explain conservation of mass during a chemical reaction.</w:t>
            </w:r>
          </w:p>
        </w:tc>
      </w:tr>
      <w:tr w:rsidR="00720BC4" w14:paraId="263CEA56" w14:textId="77777777" w:rsidTr="00720BC4">
        <w:trPr>
          <w:trHeight w:val="340"/>
        </w:trPr>
        <w:tc>
          <w:tcPr>
            <w:tcW w:w="2196" w:type="dxa"/>
          </w:tcPr>
          <w:p w14:paraId="2CDC592D" w14:textId="77777777" w:rsidR="00720BC4" w:rsidRDefault="00720BC4" w:rsidP="00720BC4">
            <w:pPr>
              <w:spacing w:before="60" w:after="60"/>
            </w:pPr>
            <w:r>
              <w:t>Activity type:</w:t>
            </w:r>
          </w:p>
        </w:tc>
        <w:tc>
          <w:tcPr>
            <w:tcW w:w="6820" w:type="dxa"/>
          </w:tcPr>
          <w:p w14:paraId="1D1384DA" w14:textId="6595F554" w:rsidR="00720BC4" w:rsidRPr="001915D4" w:rsidRDefault="00720BC4" w:rsidP="00720BC4">
            <w:pPr>
              <w:spacing w:before="60" w:after="60"/>
              <w:rPr>
                <w:highlight w:val="yellow"/>
              </w:rPr>
            </w:pPr>
            <w:r w:rsidRPr="0038377F">
              <w:t>simple multiple choice</w:t>
            </w:r>
          </w:p>
        </w:tc>
      </w:tr>
      <w:tr w:rsidR="00720BC4" w14:paraId="39CCB84C" w14:textId="77777777" w:rsidTr="00720BC4">
        <w:trPr>
          <w:trHeight w:val="340"/>
        </w:trPr>
        <w:tc>
          <w:tcPr>
            <w:tcW w:w="2196" w:type="dxa"/>
          </w:tcPr>
          <w:p w14:paraId="09F6B798" w14:textId="77777777" w:rsidR="00720BC4" w:rsidRDefault="00720BC4" w:rsidP="00720BC4">
            <w:pPr>
              <w:spacing w:before="60" w:after="60"/>
            </w:pPr>
            <w:r>
              <w:t>Key words:</w:t>
            </w:r>
          </w:p>
        </w:tc>
        <w:tc>
          <w:tcPr>
            <w:tcW w:w="6820" w:type="dxa"/>
          </w:tcPr>
          <w:p w14:paraId="704257CF" w14:textId="44F178D9" w:rsidR="00720BC4" w:rsidRPr="001C4805" w:rsidRDefault="00720BC4" w:rsidP="00720BC4">
            <w:pPr>
              <w:spacing w:before="60" w:after="60"/>
              <w:rPr>
                <w:highlight w:val="yellow"/>
              </w:rPr>
            </w:pPr>
            <w:r w:rsidRPr="0038377F">
              <w:t>reactant, product, chemical reaction, mass</w:t>
            </w:r>
          </w:p>
        </w:tc>
      </w:tr>
    </w:tbl>
    <w:p w14:paraId="7DC70ABB" w14:textId="77777777" w:rsidR="00E172C6" w:rsidRDefault="00E172C6" w:rsidP="00E172C6">
      <w:pPr>
        <w:spacing w:after="180"/>
      </w:pPr>
    </w:p>
    <w:p w14:paraId="57F3A0F1" w14:textId="34DC67DA" w:rsidR="006A320F" w:rsidRDefault="006A320F" w:rsidP="006A320F">
      <w:pPr>
        <w:spacing w:after="180"/>
      </w:pPr>
      <w:r>
        <w:t xml:space="preserve">This activity can help develop students’ understanding by addressing the </w:t>
      </w:r>
      <w:r w:rsidR="001177A9">
        <w:t>misunderstandings</w:t>
      </w:r>
      <w:r>
        <w:t xml:space="preserve"> revealed by the following diagnostic question</w:t>
      </w:r>
      <w:r w:rsidRPr="006E0400">
        <w:t>:</w:t>
      </w:r>
    </w:p>
    <w:p w14:paraId="65908DEA" w14:textId="33C7FA46" w:rsidR="00F72ECC" w:rsidRPr="00213450" w:rsidRDefault="00720BC4" w:rsidP="00F72ECC">
      <w:pPr>
        <w:pStyle w:val="ListParagraph"/>
        <w:numPr>
          <w:ilvl w:val="0"/>
          <w:numId w:val="1"/>
        </w:numPr>
        <w:spacing w:after="180"/>
      </w:pPr>
      <w:r w:rsidRPr="00213450">
        <w:t>What mass?</w:t>
      </w:r>
    </w:p>
    <w:p w14:paraId="75A127AA"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835B5B9" w14:textId="2E04E283" w:rsidR="00945646" w:rsidRPr="00672EDE" w:rsidRDefault="00945646" w:rsidP="00945646">
      <w:pPr>
        <w:spacing w:after="180"/>
      </w:pPr>
      <w:r w:rsidRPr="00672EDE">
        <w:t xml:space="preserve">A question used during research by Barker and Millar </w:t>
      </w:r>
      <w:r w:rsidRPr="00672EDE">
        <w:fldChar w:fldCharType="begin"/>
      </w:r>
      <w:r w:rsidR="001177A9">
        <w:instrText xml:space="preserve"> ADDIN EN.CITE &lt;EndNote&gt;&lt;Cite ExcludeAuth="1"&gt;&lt;Author&gt;Barker&lt;/Author&gt;&lt;Year&gt;1999&lt;/Year&gt;&lt;IDText&gt;Students&amp;apos; reasoning about chemical reactions: what changes occur during a context-based post-16 chemistry course?&lt;/IDText&gt;&lt;DisplayText&gt;(1999)&lt;/DisplayText&gt;&lt;record&gt;&lt;titles&gt;&lt;title&gt;Students&amp;apos; reasoning about chemical reactions: what changes occur during a context-based post-16 chemistry course?&lt;/title&gt;&lt;secondary-title&gt;International Journal of Science Education&lt;/secondary-title&gt;&lt;/titles&gt;&lt;pages&gt;645-665&lt;/pages&gt;&lt;number&gt;6&lt;/number&gt;&lt;contributors&gt;&lt;authors&gt;&lt;author&gt;Barker, Vanessa&lt;/author&gt;&lt;author&gt;Millar, Robin&lt;/author&gt;&lt;/authors&gt;&lt;/contributors&gt;&lt;added-date format="utc"&gt;1543573118&lt;/added-date&gt;&lt;ref-type name="Journal Article"&gt;17&lt;/ref-type&gt;&lt;dates&gt;&lt;year&gt;1999&lt;/year&gt;&lt;/dates&gt;&lt;rec-number&gt;35&lt;/rec-number&gt;&lt;last-updated-date format="utc"&gt;1543573208&lt;/last-updated-date&gt;&lt;volume&gt;21&lt;/volume&gt;&lt;/record&gt;&lt;/Cite&gt;&lt;/EndNote&gt;</w:instrText>
      </w:r>
      <w:r w:rsidRPr="00672EDE">
        <w:fldChar w:fldCharType="separate"/>
      </w:r>
      <w:r w:rsidR="001177A9">
        <w:rPr>
          <w:noProof/>
        </w:rPr>
        <w:t>(1999)</w:t>
      </w:r>
      <w:r w:rsidRPr="00672EDE">
        <w:fldChar w:fldCharType="end"/>
      </w:r>
      <w:r w:rsidRPr="00672EDE">
        <w:t xml:space="preserve"> asked students to predict whether the mass of two solutions mixed together to form a precipitate would change. Student explanations for their answers revealed a number of misunderstandings.</w:t>
      </w:r>
    </w:p>
    <w:p w14:paraId="5F894582" w14:textId="77777777" w:rsidR="00945646" w:rsidRDefault="00945646" w:rsidP="00945646">
      <w:pPr>
        <w:spacing w:after="180"/>
      </w:pPr>
      <w:r>
        <w:t>Some students predicted that the mass would increase because a solid “weighs more” than a liquid. Other predicted the mass would decrease because a gas is produced. It appeared that the evolution of a gas was something they associated with a chemical reaction.</w:t>
      </w:r>
    </w:p>
    <w:p w14:paraId="303C7B1F" w14:textId="77777777" w:rsidR="00945646" w:rsidRPr="00B36B69" w:rsidRDefault="00945646" w:rsidP="00945646">
      <w:pPr>
        <w:spacing w:after="180"/>
      </w:pPr>
      <w:r>
        <w:t>Students who correctly predicted no change in mass did not always do so for the correct scientific reason. Some made this prediction on the basis that no reaction had taken place.</w:t>
      </w:r>
    </w:p>
    <w:p w14:paraId="1CBEFFC1"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1860A8A9" w14:textId="77777777" w:rsidR="00213450" w:rsidRDefault="00213450" w:rsidP="00213450">
      <w:pPr>
        <w:spacing w:after="180"/>
      </w:pPr>
      <w:r w:rsidRPr="00DA3B6C">
        <w:t xml:space="preserve">Students </w:t>
      </w:r>
      <w:r>
        <w:t xml:space="preserve">should complete this activity in pairs or small groups, and the focus should be on the discussions.  The statements are also provided as cut-out cards for students to physically organise.  </w:t>
      </w:r>
    </w:p>
    <w:p w14:paraId="7407FB9B" w14:textId="77777777" w:rsidR="00213450" w:rsidRDefault="00213450" w:rsidP="00213450">
      <w:pPr>
        <w:spacing w:after="18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714C5281" w14:textId="77777777" w:rsidR="00213450" w:rsidRPr="00A150A6" w:rsidRDefault="00213450" w:rsidP="00213450">
      <w:pPr>
        <w:spacing w:after="180"/>
        <w:rPr>
          <w:i/>
        </w:rPr>
      </w:pPr>
      <w:r w:rsidRPr="00A150A6">
        <w:rPr>
          <w:i/>
        </w:rPr>
        <w:t>Differentiation</w:t>
      </w:r>
    </w:p>
    <w:p w14:paraId="18061FF8" w14:textId="750A55FD" w:rsidR="00213450" w:rsidRDefault="00213450" w:rsidP="00213450">
      <w:r>
        <w:t xml:space="preserve">The quality of the discussions </w:t>
      </w:r>
      <w:r w:rsidR="001177A9">
        <w:t>may</w:t>
      </w:r>
      <w:r>
        <w:t xml:space="preserve"> be improved with a careful selection of groups; or by allocating specific roles to students in each group.  For example, you may choose to select a student with strong prior knowledge as a scribe. They may question the others and only write down what they have been told.  This strategy encourages contributions from more members of each group. </w:t>
      </w:r>
    </w:p>
    <w:p w14:paraId="01A5DFAD"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538291CA" w14:textId="3FF28B6E" w:rsidR="00BF6C8A" w:rsidRPr="00213450" w:rsidRDefault="00213450" w:rsidP="00BF6C8A">
      <w:pPr>
        <w:spacing w:after="180"/>
      </w:pPr>
      <w:r w:rsidRPr="00213450">
        <w:t>Sunetra correctly predicts that the mass will stay the same, using a macroscopic explanation.</w:t>
      </w:r>
    </w:p>
    <w:p w14:paraId="56DBCB22" w14:textId="2F8B4CAC" w:rsidR="00213450" w:rsidRPr="00213450" w:rsidRDefault="00213450" w:rsidP="00BF6C8A">
      <w:pPr>
        <w:spacing w:after="180"/>
      </w:pPr>
      <w:r w:rsidRPr="00213450">
        <w:t>James also makes the correct prediction but uses an understanding of the rearrangement of atoms.</w:t>
      </w:r>
    </w:p>
    <w:p w14:paraId="0E093A74" w14:textId="41F1AEFA" w:rsidR="00213450" w:rsidRDefault="00213450" w:rsidP="00BF6C8A">
      <w:pPr>
        <w:spacing w:after="180"/>
      </w:pPr>
      <w:r w:rsidRPr="00213450">
        <w:t xml:space="preserve">Raj makes the correct prediction but for </w:t>
      </w:r>
      <w:r w:rsidR="001177A9">
        <w:t xml:space="preserve">a </w:t>
      </w:r>
      <w:r w:rsidRPr="00213450">
        <w:t>scientifically incorrect reason</w:t>
      </w:r>
      <w:bookmarkStart w:id="0" w:name="_GoBack"/>
      <w:bookmarkEnd w:id="0"/>
      <w:r w:rsidRPr="00213450">
        <w:t>.</w:t>
      </w:r>
    </w:p>
    <w:p w14:paraId="531FD716"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78B5118" w14:textId="0FEA0374" w:rsidR="00D278E8" w:rsidRPr="00720BC4" w:rsidRDefault="00D278E8" w:rsidP="00E172C6">
      <w:pPr>
        <w:spacing w:after="180"/>
      </w:pPr>
      <w:r w:rsidRPr="00720BC4">
        <w:t xml:space="preserve">Developed </w:t>
      </w:r>
      <w:r w:rsidR="0015356E" w:rsidRPr="00720BC4">
        <w:t xml:space="preserve">by </w:t>
      </w:r>
      <w:r w:rsidR="00720BC4" w:rsidRPr="00720BC4">
        <w:t>Helen Harden</w:t>
      </w:r>
      <w:r w:rsidR="0015356E" w:rsidRPr="00720BC4">
        <w:t xml:space="preserve"> (UYSEG)</w:t>
      </w:r>
      <w:r w:rsidR="001177A9">
        <w:t xml:space="preserve">, from an idea by Vanessa Barker and Robin Millar </w:t>
      </w:r>
      <w:r w:rsidR="001177A9">
        <w:fldChar w:fldCharType="begin"/>
      </w:r>
      <w:r w:rsidR="001177A9">
        <w:instrText xml:space="preserve"> ADDIN EN.CITE &lt;EndNote&gt;&lt;Cite ExcludeAuth="1"&gt;&lt;Author&gt;Barker&lt;/Author&gt;&lt;Year&gt;1999&lt;/Year&gt;&lt;IDText&gt;Students&amp;apos; reasoning about chemical reactions: what changes occur during a context-based post-16 chemistry course?&lt;/IDText&gt;&lt;DisplayText&gt;(1999)&lt;/DisplayText&gt;&lt;record&gt;&lt;titles&gt;&lt;title&gt;Students&amp;apos; reasoning about chemical reactions: what changes occur during a context-based post-16 chemistry course?&lt;/title&gt;&lt;secondary-title&gt;International Journal of Science Education&lt;/secondary-title&gt;&lt;/titles&gt;&lt;pages&gt;645-665&lt;/pages&gt;&lt;number&gt;6&lt;/number&gt;&lt;contributors&gt;&lt;authors&gt;&lt;author&gt;Barker, Vanessa&lt;/author&gt;&lt;author&gt;Millar, Robin&lt;/author&gt;&lt;/authors&gt;&lt;/contributors&gt;&lt;added-date format="utc"&gt;1543573118&lt;/added-date&gt;&lt;ref-type name="Journal Article"&gt;17&lt;/ref-type&gt;&lt;dates&gt;&lt;year&gt;1999&lt;/year&gt;&lt;/dates&gt;&lt;rec-number&gt;35&lt;/rec-number&gt;&lt;last-updated-date format="utc"&gt;1543573208&lt;/last-updated-date&gt;&lt;volume&gt;21&lt;/volume&gt;&lt;/record&gt;&lt;/Cite&gt;&lt;/EndNote&gt;</w:instrText>
      </w:r>
      <w:r w:rsidR="001177A9">
        <w:fldChar w:fldCharType="separate"/>
      </w:r>
      <w:r w:rsidR="001177A9">
        <w:rPr>
          <w:noProof/>
        </w:rPr>
        <w:t>(1999)</w:t>
      </w:r>
      <w:r w:rsidR="001177A9">
        <w:fldChar w:fldCharType="end"/>
      </w:r>
    </w:p>
    <w:p w14:paraId="06B2C0FE" w14:textId="17DD4301" w:rsidR="00CC78A5" w:rsidRDefault="00D278E8" w:rsidP="00E172C6">
      <w:pPr>
        <w:spacing w:after="180"/>
      </w:pPr>
      <w:r w:rsidRPr="00720BC4">
        <w:t xml:space="preserve">Images: </w:t>
      </w:r>
      <w:r w:rsidR="00720BC4" w:rsidRPr="00720BC4">
        <w:t>Helen Harden and Alistair Moore</w:t>
      </w:r>
    </w:p>
    <w:p w14:paraId="2142D250" w14:textId="24EA2996" w:rsidR="00945646" w:rsidRDefault="008D7667" w:rsidP="00026DEC">
      <w:pPr>
        <w:spacing w:after="180"/>
        <w:rPr>
          <w:b/>
          <w:color w:val="E36C0A" w:themeColor="accent6" w:themeShade="BF"/>
          <w:sz w:val="24"/>
        </w:rPr>
      </w:pPr>
      <w:r>
        <w:rPr>
          <w:b/>
          <w:color w:val="E36C0A" w:themeColor="accent6" w:themeShade="BF"/>
          <w:sz w:val="24"/>
        </w:rPr>
        <w:t>References</w:t>
      </w:r>
    </w:p>
    <w:p w14:paraId="2BA5ABBD" w14:textId="77777777" w:rsidR="001177A9" w:rsidRPr="001177A9" w:rsidRDefault="00945646" w:rsidP="001177A9">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1177A9" w:rsidRPr="001177A9">
        <w:t xml:space="preserve">Barker, V. and Millar, R. (1999). Students' reasoning about chemical reactions: what changes occur during a context-based post-16 chemistry course? </w:t>
      </w:r>
      <w:r w:rsidR="001177A9" w:rsidRPr="001177A9">
        <w:rPr>
          <w:i/>
        </w:rPr>
        <w:t>International Journal of Science Education,</w:t>
      </w:r>
      <w:r w:rsidR="001177A9" w:rsidRPr="001177A9">
        <w:t xml:space="preserve"> 21(6)</w:t>
      </w:r>
      <w:r w:rsidR="001177A9" w:rsidRPr="001177A9">
        <w:rPr>
          <w:b/>
        </w:rPr>
        <w:t>,</w:t>
      </w:r>
      <w:r w:rsidR="001177A9" w:rsidRPr="001177A9">
        <w:t xml:space="preserve"> 645-665.</w:t>
      </w:r>
    </w:p>
    <w:p w14:paraId="12A27764" w14:textId="6F22F88A" w:rsidR="003117F6" w:rsidRPr="001C2E59" w:rsidRDefault="00945646"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24D7E" w14:textId="77777777" w:rsidR="00963464" w:rsidRDefault="00963464" w:rsidP="000B473B">
      <w:r>
        <w:separator/>
      </w:r>
    </w:p>
  </w:endnote>
  <w:endnote w:type="continuationSeparator" w:id="0">
    <w:p w14:paraId="11967E77" w14:textId="77777777" w:rsidR="00963464" w:rsidRDefault="0096346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9EBF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43234FE" wp14:editId="4527F29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E1875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42AE8B6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3D2676A9" w14:textId="17BA9D0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w:t>
    </w:r>
    <w:r w:rsidR="001177A9" w:rsidRPr="008D7667">
      <w:rPr>
        <w:sz w:val="16"/>
        <w:szCs w:val="16"/>
      </w:rPr>
      <w:t>Non-commercial</w:t>
    </w:r>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681CE" w14:textId="77777777" w:rsidR="00963464" w:rsidRDefault="00963464" w:rsidP="000B473B">
      <w:r>
        <w:separator/>
      </w:r>
    </w:p>
  </w:footnote>
  <w:footnote w:type="continuationSeparator" w:id="0">
    <w:p w14:paraId="5C751FB8" w14:textId="77777777" w:rsidR="00963464" w:rsidRDefault="0096346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421A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28C29EC" wp14:editId="2630FA09">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FF4E0B2" wp14:editId="305CD3B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F5EF0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C8E3B"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892E160" wp14:editId="25DCFB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99B50B2" wp14:editId="4673947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51771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E2ABD"/>
    <w:rsid w:val="00015578"/>
    <w:rsid w:val="00024731"/>
    <w:rsid w:val="00026DEC"/>
    <w:rsid w:val="000505CA"/>
    <w:rsid w:val="0007651D"/>
    <w:rsid w:val="0009089A"/>
    <w:rsid w:val="000947E2"/>
    <w:rsid w:val="00095E04"/>
    <w:rsid w:val="000B473B"/>
    <w:rsid w:val="000D0E89"/>
    <w:rsid w:val="000E2689"/>
    <w:rsid w:val="001177A9"/>
    <w:rsid w:val="00142613"/>
    <w:rsid w:val="00144DA7"/>
    <w:rsid w:val="0015356E"/>
    <w:rsid w:val="00161D3F"/>
    <w:rsid w:val="001915D4"/>
    <w:rsid w:val="00194675"/>
    <w:rsid w:val="001A1FED"/>
    <w:rsid w:val="001A40E2"/>
    <w:rsid w:val="001A410F"/>
    <w:rsid w:val="001C2E59"/>
    <w:rsid w:val="001C4805"/>
    <w:rsid w:val="00201AC2"/>
    <w:rsid w:val="00213450"/>
    <w:rsid w:val="00214608"/>
    <w:rsid w:val="002178AC"/>
    <w:rsid w:val="0022547C"/>
    <w:rsid w:val="00242772"/>
    <w:rsid w:val="0025410A"/>
    <w:rsid w:val="0027553E"/>
    <w:rsid w:val="0028012F"/>
    <w:rsid w:val="002828DF"/>
    <w:rsid w:val="00287876"/>
    <w:rsid w:val="00292C53"/>
    <w:rsid w:val="00294E22"/>
    <w:rsid w:val="002C22EA"/>
    <w:rsid w:val="002C59BA"/>
    <w:rsid w:val="002E2ABD"/>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320F"/>
    <w:rsid w:val="006A4440"/>
    <w:rsid w:val="006B0615"/>
    <w:rsid w:val="006D166B"/>
    <w:rsid w:val="006F3279"/>
    <w:rsid w:val="00704AEE"/>
    <w:rsid w:val="00720BC4"/>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45646"/>
    <w:rsid w:val="00952D04"/>
    <w:rsid w:val="00961D59"/>
    <w:rsid w:val="00963464"/>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4CA1D"/>
  <w15:docId w15:val="{CDCF7B95-5E95-4207-99D6-180D1B39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4564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45646"/>
    <w:rPr>
      <w:rFonts w:ascii="Calibri" w:hAnsi="Calibri" w:cs="Calibri"/>
      <w:noProof/>
      <w:lang w:val="en-US"/>
    </w:rPr>
  </w:style>
  <w:style w:type="paragraph" w:customStyle="1" w:styleId="EndNoteBibliography">
    <w:name w:val="EndNote Bibliography"/>
    <w:basedOn w:val="Normal"/>
    <w:link w:val="EndNoteBibliographyChar"/>
    <w:rsid w:val="00945646"/>
    <w:rPr>
      <w:rFonts w:ascii="Calibri" w:hAnsi="Calibri" w:cs="Calibri"/>
      <w:noProof/>
      <w:lang w:val="en-US"/>
    </w:rPr>
  </w:style>
  <w:style w:type="character" w:customStyle="1" w:styleId="EndNoteBibliographyChar">
    <w:name w:val="EndNote Bibliography Char"/>
    <w:basedOn w:val="DefaultParagraphFont"/>
    <w:link w:val="EndNoteBibliography"/>
    <w:rsid w:val="00945646"/>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43</TotalTime>
  <Pages>4</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3</cp:revision>
  <cp:lastPrinted>2018-11-30T10:31:00Z</cp:lastPrinted>
  <dcterms:created xsi:type="dcterms:W3CDTF">2018-11-19T12:16:00Z</dcterms:created>
  <dcterms:modified xsi:type="dcterms:W3CDTF">2018-11-30T10:50:00Z</dcterms:modified>
</cp:coreProperties>
</file>